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木垒哈萨克自治县人民医院</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木垒哈萨克自治县人民医院成立于</w:t>
      </w:r>
      <w:r>
        <w:rPr>
          <w:rFonts w:ascii="仿宋_GB2312" w:eastAsia="仿宋_GB2312"/>
          <w:sz w:val="32"/>
          <w:szCs w:val="32"/>
        </w:rPr>
        <w:t>1953</w:t>
      </w:r>
      <w:r>
        <w:rPr>
          <w:rFonts w:hint="eastAsia" w:ascii="仿宋_GB2312" w:eastAsia="仿宋_GB2312"/>
          <w:sz w:val="32"/>
          <w:szCs w:val="32"/>
        </w:rPr>
        <w:t>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w:t>
      </w:r>
      <w:r>
        <w:rPr>
          <w:rFonts w:ascii="仿宋_GB2312" w:eastAsia="仿宋_GB2312"/>
          <w:sz w:val="32"/>
          <w:szCs w:val="32"/>
        </w:rPr>
        <w:t>+</w:t>
      </w:r>
      <w:r>
        <w:rPr>
          <w:rFonts w:hint="eastAsia" w:ascii="仿宋_GB2312" w:eastAsia="仿宋_GB2312"/>
          <w:sz w:val="32"/>
          <w:szCs w:val="32"/>
        </w:rPr>
        <w:t>人工晶体植入等先进诊疗技术。</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木垒哈萨克自治县人民医院2023年度，实有人数231人，其中：在职人员132人，离休人员0人，退休人员99人。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单位无下属预算单位，下设35个处室，分别是：</w:t>
      </w:r>
      <w:r>
        <w:rPr>
          <w:rFonts w:hint="eastAsia" w:ascii="仿宋_GB2312" w:eastAsia="仿宋_GB2312"/>
          <w:bCs/>
          <w:sz w:val="32"/>
          <w:szCs w:val="32"/>
        </w:rPr>
        <w:t>心血管内科、呼吸与危重症科、外科、妇产科、儿科、中医科、口腔科、眼耳鼻喉科、危急重症科、手术麻醉科、发热门诊、超声科、放射科、检验科、病理科、心功能科、药械科、体检科、供应室、高压氧舱、党群部、人事科、行政部、医务部、医政科、质控科、门诊部、医保办、公共卫生科、护理部、信息部、财务部、后勤部、医院感染控制科、招标采购办</w:t>
      </w:r>
      <w:r>
        <w:rPr>
          <w:rFonts w:hint="eastAsia" w:ascii="仿宋_GB2312" w:eastAsia="仿宋_GB2312"/>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2023年度收入总计13,678.73万元，其中：本年收入合计13,678.73万元，使用非财政拨款结余0.00万元，年初结转和结余0.00万元。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2023年度支出总计13,678.73万元，其中：本年支出合计13,678.73万元，结余分配0.00万元，年末结转和结余0.00万元。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收入支出总体与上年相比，减少607.52万元，下降4.25%，主要原因是：本年中央财政医疗服务与保障能力提升项目经费减少。</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13,678.73万元，其中：财政拨款收入7,167.19万元，占52.40%；上级补助收入0.00万元，占0.00%；事业收入6,451.44万元，占47.16%；经营收入0.00万元，占0.00%；附属单位上缴收入0.00万元，占0.00%；其他收入60.10万元，占0.44%。</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本年支出13,678.73万元，其中：基本支出9,175.24万元，占67.08%；项目支出4,503.49万元，占32.92%；上缴上级支出0.00万元，占0.00%；经营支出0.00万元，占0.00%；对附属单位补助支出0.00万元，占0.00%。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7,167.19万元，其中：年初财政拨款结转和结余0.00万元，本年财政拨款收入7,167.19万元。财政拨款支出总计7,167.19万元，其中：年末财政拨款结转和结余0.00万元，本年财政拨款支出7,167.19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1,462.33万元，下降16.95%,主要原因是：本年中央财政医疗服务与保障能力提升项目经费减少。与年初预算相比，年初预算数2,318.28万元，决算数7,167.19万元，预决算差异率209.16%，主要原因是：年中追加中医医院综合楼儿科治疗综合服务类合并项目经费、自治区医务人员临时性工资补贴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3,167.19万元，占本年支出合计的23.15%。与上年相比，增加537.67万元，增长20.45%,主要原因是：本年中医医院综合楼儿科治疗综合服务类合并项目经费增加、医疗废物处置设施建设项目经费增加。与年初预算相比，年初预算数2,318.28万元，决算数3,167.19万元，预决算差异率36.62%，主要原因是：年中追加中医医院综合楼儿科治疗综合服务类合并项目经费、自治区医务人员临时性工资补贴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0.13</w:t>
      </w:r>
      <w:r>
        <w:rPr>
          <w:rFonts w:ascii="仿宋_GB2312" w:eastAsia="仿宋_GB2312"/>
          <w:sz w:val="32"/>
          <w:szCs w:val="32"/>
        </w:rPr>
        <w:t>万元，占</w:t>
      </w:r>
      <w:r>
        <w:rPr>
          <w:rFonts w:hint="eastAsia" w:ascii="仿宋_GB2312" w:eastAsia="仿宋_GB2312"/>
          <w:sz w:val="32"/>
          <w:szCs w:val="32"/>
        </w:rPr>
        <w:t>0.00</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2.社会保障和就业支出（类）</w:t>
      </w:r>
      <w:r>
        <w:rPr>
          <w:rFonts w:hint="eastAsia" w:ascii="仿宋_GB2312" w:eastAsia="仿宋_GB2312"/>
          <w:sz w:val="32"/>
          <w:szCs w:val="32"/>
        </w:rPr>
        <w:t>347.78</w:t>
      </w:r>
      <w:r>
        <w:rPr>
          <w:rFonts w:ascii="仿宋_GB2312" w:eastAsia="仿宋_GB2312"/>
          <w:sz w:val="32"/>
          <w:szCs w:val="32"/>
        </w:rPr>
        <w:t>万元，占</w:t>
      </w:r>
      <w:r>
        <w:rPr>
          <w:rFonts w:hint="eastAsia" w:ascii="仿宋_GB2312" w:eastAsia="仿宋_GB2312"/>
          <w:sz w:val="32"/>
          <w:szCs w:val="32"/>
        </w:rPr>
        <w:t>10.98</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.卫生健康支出（类）</w:t>
      </w:r>
      <w:r>
        <w:rPr>
          <w:rFonts w:hint="eastAsia" w:ascii="仿宋_GB2312" w:eastAsia="仿宋_GB2312"/>
          <w:sz w:val="32"/>
          <w:szCs w:val="32"/>
        </w:rPr>
        <w:t>2,669.67</w:t>
      </w:r>
      <w:r>
        <w:rPr>
          <w:rFonts w:ascii="仿宋_GB2312" w:eastAsia="仿宋_GB2312"/>
          <w:sz w:val="32"/>
          <w:szCs w:val="32"/>
        </w:rPr>
        <w:t>万元，占</w:t>
      </w:r>
      <w:r>
        <w:rPr>
          <w:rFonts w:hint="eastAsia" w:ascii="仿宋_GB2312" w:eastAsia="仿宋_GB2312"/>
          <w:sz w:val="32"/>
          <w:szCs w:val="32"/>
        </w:rPr>
        <w:t>84.29</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146.62</w:t>
      </w:r>
      <w:r>
        <w:rPr>
          <w:rFonts w:ascii="仿宋_GB2312" w:eastAsia="仿宋_GB2312"/>
          <w:sz w:val="32"/>
          <w:szCs w:val="32"/>
        </w:rPr>
        <w:t>万元，占</w:t>
      </w:r>
      <w:r>
        <w:rPr>
          <w:rFonts w:hint="eastAsia" w:ascii="仿宋_GB2312" w:eastAsia="仿宋_GB2312"/>
          <w:sz w:val="32"/>
          <w:szCs w:val="32"/>
        </w:rPr>
        <w:t>4.63</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.其他支出（类）</w:t>
      </w:r>
      <w:r>
        <w:rPr>
          <w:rFonts w:hint="eastAsia" w:ascii="仿宋_GB2312" w:eastAsia="仿宋_GB2312"/>
          <w:sz w:val="32"/>
          <w:szCs w:val="32"/>
        </w:rPr>
        <w:t>3.00</w:t>
      </w:r>
      <w:r>
        <w:rPr>
          <w:rFonts w:ascii="仿宋_GB2312" w:eastAsia="仿宋_GB2312"/>
          <w:sz w:val="32"/>
          <w:szCs w:val="32"/>
        </w:rPr>
        <w:t>万元，占</w:t>
      </w:r>
      <w:r>
        <w:rPr>
          <w:rFonts w:hint="eastAsia" w:ascii="仿宋_GB2312" w:eastAsia="仿宋_GB2312"/>
          <w:sz w:val="32"/>
          <w:szCs w:val="32"/>
        </w:rPr>
        <w:t>0.09</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1.卫生健康支出（类）公立医院（款）其他公立医院支出（项）:支出决算数为103.00万元，比上年决算减少97.00万元，下降48.50%，主要原因是：本年中央财政医疗服务与保障能力提升项目经费减少。</w:t>
      </w:r>
    </w:p>
    <w:p>
      <w:pPr>
        <w:ind w:firstLine="640" w:firstLineChars="200"/>
        <w:rPr>
          <w:rFonts w:ascii="仿宋_GB2312" w:eastAsia="仿宋_GB2312"/>
          <w:sz w:val="32"/>
          <w:szCs w:val="32"/>
        </w:rPr>
      </w:pPr>
      <w:r>
        <w:rPr>
          <w:rFonts w:hint="eastAsia" w:ascii="仿宋_GB2312" w:eastAsia="仿宋_GB2312"/>
          <w:sz w:val="32"/>
          <w:szCs w:val="32"/>
        </w:rPr>
        <w:t>2.卫生健康支出（类）公立医院（款）综合医院（项）:支出决算数为2,183.95万元，比上年决算增加332.23万元，增长17.94%，主要原因是：本年中医医院综合楼儿科治疗综合服务类合并项目经费增加。</w:t>
      </w:r>
    </w:p>
    <w:p>
      <w:pPr>
        <w:ind w:firstLine="640" w:firstLineChars="200"/>
        <w:rPr>
          <w:rFonts w:ascii="仿宋_GB2312" w:eastAsia="仿宋_GB2312"/>
          <w:sz w:val="32"/>
          <w:szCs w:val="32"/>
        </w:rPr>
      </w:pPr>
      <w:r>
        <w:rPr>
          <w:rFonts w:hint="eastAsia" w:ascii="仿宋_GB2312" w:eastAsia="仿宋_GB2312"/>
          <w:sz w:val="32"/>
          <w:szCs w:val="32"/>
        </w:rPr>
        <w:t>3.卫生健康支出（类）公共卫生（款）突发公共卫生事件应急处理（项）:支出决算数为121.16万元，比上年决算增加86.56万元，增长250.17%，主要原因是：本年自治区医务人员临时性工资补贴项目经费增加。</w:t>
      </w:r>
    </w:p>
    <w:p>
      <w:pPr>
        <w:ind w:firstLine="640" w:firstLineChars="200"/>
        <w:rPr>
          <w:rFonts w:ascii="仿宋_GB2312" w:eastAsia="仿宋_GB2312"/>
          <w:sz w:val="32"/>
          <w:szCs w:val="32"/>
        </w:rPr>
      </w:pPr>
      <w:r>
        <w:rPr>
          <w:rFonts w:hint="eastAsia" w:ascii="仿宋_GB2312" w:eastAsia="仿宋_GB2312"/>
          <w:sz w:val="32"/>
          <w:szCs w:val="32"/>
        </w:rPr>
        <w:t>4.卫生健康支出（类）医疗保障管理事务（款）其他医疗保障管理事务支出（项）:支出决算数为217.00万元，比上年决算增加217.00万元，增长100%，主要原因是：本年中央财政医疗服务与保障能力提升、医疗卫生机构能力建设项目经费增加。</w:t>
      </w:r>
    </w:p>
    <w:p>
      <w:pPr>
        <w:ind w:firstLine="640" w:firstLineChars="200"/>
        <w:rPr>
          <w:rFonts w:ascii="仿宋_GB2312" w:eastAsia="仿宋_GB2312"/>
          <w:sz w:val="32"/>
          <w:szCs w:val="32"/>
        </w:rPr>
      </w:pPr>
      <w:r>
        <w:rPr>
          <w:rFonts w:hint="eastAsia" w:ascii="仿宋_GB2312" w:eastAsia="仿宋_GB2312"/>
          <w:sz w:val="32"/>
          <w:szCs w:val="32"/>
        </w:rPr>
        <w:t>5.卫生健康支出（类）其他卫生健康支出（款）其他卫生健康支出（项）:支出决算数为22.00万元，比上年决算增加22.00万元，增长100%，主要原因是：单位本年医疗废物处置设施建设项目经费增加。</w:t>
      </w:r>
    </w:p>
    <w:p>
      <w:pPr>
        <w:ind w:firstLine="640" w:firstLineChars="200"/>
        <w:rPr>
          <w:rFonts w:ascii="仿宋_GB2312" w:eastAsia="仿宋_GB2312"/>
          <w:sz w:val="32"/>
          <w:szCs w:val="32"/>
        </w:rPr>
      </w:pPr>
      <w:r>
        <w:rPr>
          <w:rFonts w:hint="eastAsia" w:ascii="仿宋_GB2312" w:eastAsia="仿宋_GB2312"/>
          <w:sz w:val="32"/>
          <w:szCs w:val="32"/>
        </w:rPr>
        <w:t>6.住房保障支出（类）住房改革支出（款）住房公积金（项）:支出决算数为146.62万元，比上年决算增加3.72万元，增长2.6</w:t>
      </w:r>
      <w:r>
        <w:rPr>
          <w:rFonts w:hint="eastAsia" w:ascii="仿宋_GB2312" w:eastAsia="仿宋_GB2312"/>
          <w:sz w:val="32"/>
          <w:szCs w:val="32"/>
          <w:lang w:val="en-US" w:eastAsia="zh-CN"/>
        </w:rPr>
        <w:t>0</w:t>
      </w:r>
      <w:r>
        <w:rPr>
          <w:rFonts w:hint="eastAsia" w:ascii="仿宋_GB2312" w:eastAsia="仿宋_GB2312"/>
          <w:sz w:val="32"/>
          <w:szCs w:val="32"/>
        </w:rPr>
        <w:t>%，主要原因是：单位本年人员增加，相应人员公积金缴费增加。</w:t>
      </w:r>
    </w:p>
    <w:p>
      <w:pPr>
        <w:ind w:firstLine="640" w:firstLineChars="200"/>
        <w:rPr>
          <w:rFonts w:ascii="仿宋_GB2312" w:eastAsia="仿宋_GB2312"/>
          <w:sz w:val="32"/>
          <w:szCs w:val="32"/>
        </w:rPr>
      </w:pPr>
      <w:r>
        <w:rPr>
          <w:rFonts w:hint="eastAsia" w:ascii="仿宋_GB2312" w:eastAsia="仿宋_GB2312"/>
          <w:sz w:val="32"/>
          <w:szCs w:val="32"/>
        </w:rPr>
        <w:t>7.社会保障和就业支出（类）抚恤（款）死亡抚恤（项）:支出决算数为22.07万元，比上年决算增加22.07万元，增长100%，主要原因是：单位本年人员丧葬费、抚恤金补助较上年增加。</w:t>
      </w:r>
    </w:p>
    <w:p>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8.社会保障和就业支出（类）行政事业单位养老支出（款）事业单位离退休（项）:支出决算数为33.20万元，比上年决算增加19.7</w:t>
      </w:r>
      <w:r>
        <w:rPr>
          <w:rFonts w:hint="eastAsia" w:ascii="仿宋_GB2312" w:eastAsia="仿宋_GB2312"/>
          <w:sz w:val="32"/>
          <w:szCs w:val="32"/>
          <w:lang w:val="en-US" w:eastAsia="zh-CN"/>
        </w:rPr>
        <w:t>9</w:t>
      </w:r>
      <w:r>
        <w:rPr>
          <w:rFonts w:hint="eastAsia" w:ascii="仿宋_GB2312" w:eastAsia="仿宋_GB2312"/>
          <w:sz w:val="32"/>
          <w:szCs w:val="32"/>
        </w:rPr>
        <w:t>万元，增长147.5</w:t>
      </w:r>
      <w:r>
        <w:rPr>
          <w:rFonts w:hint="eastAsia" w:ascii="仿宋_GB2312" w:eastAsia="仿宋_GB2312"/>
          <w:sz w:val="32"/>
          <w:szCs w:val="32"/>
          <w:lang w:val="en-US" w:eastAsia="zh-CN"/>
        </w:rPr>
        <w:t>8</w:t>
      </w:r>
      <w:r>
        <w:rPr>
          <w:rFonts w:hint="eastAsia" w:ascii="仿宋_GB2312" w:eastAsia="仿宋_GB2312"/>
          <w:sz w:val="32"/>
          <w:szCs w:val="32"/>
        </w:rPr>
        <w:t>%，主要原因是：单位本年退休人员交通补助、取暖费增加。</w:t>
      </w:r>
    </w:p>
    <w:p>
      <w:pPr>
        <w:ind w:firstLine="640" w:firstLineChars="200"/>
        <w:rPr>
          <w:rFonts w:ascii="仿宋_GB2312" w:eastAsia="仿宋_GB2312"/>
          <w:sz w:val="32"/>
          <w:szCs w:val="32"/>
        </w:rPr>
      </w:pPr>
      <w:r>
        <w:rPr>
          <w:rFonts w:hint="eastAsia" w:ascii="仿宋_GB2312" w:eastAsia="仿宋_GB2312"/>
          <w:sz w:val="32"/>
          <w:szCs w:val="32"/>
        </w:rPr>
        <w:t>9.卫生健康支出（类）公共卫生（款）基本公共卫生服务（项）:支出决算数为1.70万元，比上年决算减少24.10万元，下降93.41%，主要原因是：单位本年基本卫生服务项目经费减少。</w:t>
      </w:r>
    </w:p>
    <w:p>
      <w:pPr>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97.50万元，比上年决算增加1.37万元，增长1.43%，主要原因是：单位本年退休人员增加，职业年金缴费增加。</w:t>
      </w:r>
    </w:p>
    <w:p>
      <w:pPr>
        <w:ind w:firstLine="640" w:firstLineChars="200"/>
        <w:rPr>
          <w:rFonts w:ascii="仿宋_GB2312" w:eastAsia="仿宋_GB2312"/>
          <w:sz w:val="32"/>
          <w:szCs w:val="32"/>
        </w:rPr>
      </w:pPr>
      <w:r>
        <w:rPr>
          <w:rFonts w:hint="eastAsia" w:ascii="仿宋_GB2312" w:eastAsia="仿宋_GB2312"/>
          <w:sz w:val="32"/>
          <w:szCs w:val="32"/>
        </w:rPr>
        <w:t>11.卫生健康支出（类）公共卫生（款）重大公共卫生服务（项）:支出决算数为20.40万元，比上年决算减少2.30万元，下降10.1</w:t>
      </w:r>
      <w:r>
        <w:rPr>
          <w:rFonts w:hint="eastAsia" w:ascii="仿宋_GB2312" w:eastAsia="仿宋_GB2312"/>
          <w:sz w:val="32"/>
          <w:szCs w:val="32"/>
          <w:lang w:val="en-US" w:eastAsia="zh-CN"/>
        </w:rPr>
        <w:t>3</w:t>
      </w:r>
      <w:r>
        <w:rPr>
          <w:rFonts w:hint="eastAsia" w:ascii="仿宋_GB2312" w:eastAsia="仿宋_GB2312"/>
          <w:sz w:val="32"/>
          <w:szCs w:val="32"/>
        </w:rPr>
        <w:t>%，主要原因是：本年中央财政重大传染病防控补助项目经费减少。</w:t>
      </w:r>
    </w:p>
    <w:p>
      <w:pPr>
        <w:ind w:firstLine="640" w:firstLineChars="200"/>
        <w:rPr>
          <w:rFonts w:ascii="仿宋_GB2312" w:eastAsia="仿宋_GB2312"/>
          <w:sz w:val="32"/>
          <w:szCs w:val="32"/>
        </w:rPr>
      </w:pPr>
      <w:r>
        <w:rPr>
          <w:rFonts w:hint="eastAsia" w:ascii="仿宋_GB2312" w:eastAsia="仿宋_GB2312"/>
          <w:sz w:val="32"/>
          <w:szCs w:val="32"/>
        </w:rPr>
        <w:t>12.卫生健康支出（类）计划生育事务（款）计划生育服务（项）:支出决算数为0.46万元，比上年决算增加0.46万元，增长100%，主要原因是：本年牧民计划生育免费技术服务州配套项目经费增加。</w:t>
      </w:r>
    </w:p>
    <w:p>
      <w:pPr>
        <w:ind w:firstLine="640" w:firstLineChars="200"/>
        <w:rPr>
          <w:rFonts w:ascii="仿宋_GB2312" w:eastAsia="仿宋_GB2312"/>
          <w:sz w:val="32"/>
          <w:szCs w:val="32"/>
        </w:rPr>
      </w:pPr>
      <w:r>
        <w:rPr>
          <w:rFonts w:hint="eastAsia" w:ascii="仿宋_GB2312" w:eastAsia="仿宋_GB2312"/>
          <w:sz w:val="32"/>
          <w:szCs w:val="32"/>
        </w:rPr>
        <w:t>13.社会保障和就业支出（类）行政事业单位养老支出（款）机关事业单位基本养老保险缴费支出（项）:支出决算数为195.01万元，比上年决算增加2.75万元，增长1.43%，主要原因是：单位本年人员增加，相应人员养老保险缴费增加。</w:t>
      </w:r>
    </w:p>
    <w:p>
      <w:pPr>
        <w:ind w:firstLine="640" w:firstLineChars="200"/>
        <w:rPr>
          <w:rFonts w:ascii="仿宋_GB2312" w:eastAsia="仿宋_GB2312"/>
          <w:sz w:val="32"/>
          <w:szCs w:val="32"/>
        </w:rPr>
      </w:pPr>
      <w:r>
        <w:rPr>
          <w:rFonts w:hint="eastAsia" w:ascii="仿宋_GB2312" w:eastAsia="仿宋_GB2312"/>
          <w:sz w:val="32"/>
          <w:szCs w:val="32"/>
        </w:rPr>
        <w:t>14.一般公共服务支出（类）组织事务（款）其他组织事务支出（项）:支出决算数为0.13万元，比上年决算增加0.13万元，增长100%，主要原因是：本年五个好党支部示范点补助经费增加。</w:t>
      </w:r>
    </w:p>
    <w:p>
      <w:pPr>
        <w:ind w:firstLine="640" w:firstLineChars="200"/>
        <w:rPr>
          <w:rFonts w:ascii="仿宋_GB2312" w:eastAsia="仿宋_GB2312"/>
          <w:sz w:val="32"/>
          <w:szCs w:val="32"/>
        </w:rPr>
      </w:pPr>
      <w:r>
        <w:rPr>
          <w:rFonts w:hint="eastAsia" w:ascii="仿宋_GB2312" w:eastAsia="仿宋_GB2312"/>
          <w:sz w:val="32"/>
          <w:szCs w:val="32"/>
        </w:rPr>
        <w:t>15.其他支出（类）其他支出（款）其他支出（项）:支出决算数为3.00万元，比上年决算增加3.00万元，增长100%，主要原因是：2023年度州级重点人才项目经费增加。</w:t>
      </w:r>
    </w:p>
    <w:p>
      <w:pPr>
        <w:ind w:firstLine="640" w:firstLineChars="200"/>
        <w:rPr>
          <w:rFonts w:ascii="仿宋_GB2312" w:eastAsia="仿宋_GB2312"/>
          <w:sz w:val="32"/>
          <w:szCs w:val="32"/>
        </w:rPr>
      </w:pPr>
      <w:r>
        <w:rPr>
          <w:rFonts w:hint="eastAsia" w:ascii="仿宋_GB2312" w:eastAsia="仿宋_GB2312"/>
          <w:sz w:val="32"/>
          <w:szCs w:val="32"/>
        </w:rPr>
        <w:t>16.卫生健康支出（类）中医药（款）中医（民族医）药专项（项）:支出决算数为0.00万元，比上年决算减少50.00万元，下降100%，主要原因是：本年我单位减少中医药传承项目资金。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2,663.71万元，其中：人员经费2,663.71万元，包括：基本工资、机关事业单位基本养老保险缴费、职业年金缴费、职工基本医疗保险缴费、其他社会保障缴费、住房公积金、其他工资福利支出、退休费、抚恤金、奖励金。</w:t>
      </w:r>
    </w:p>
    <w:p>
      <w:pPr>
        <w:ind w:firstLine="640" w:firstLineChars="200"/>
        <w:rPr>
          <w:rFonts w:ascii="仿宋_GB2312" w:eastAsia="仿宋_GB2312"/>
          <w:sz w:val="32"/>
          <w:szCs w:val="32"/>
        </w:rPr>
      </w:pPr>
      <w:r>
        <w:rPr>
          <w:rFonts w:hint="eastAsia" w:ascii="仿宋_GB2312" w:eastAsia="仿宋_GB2312"/>
          <w:sz w:val="32"/>
          <w:szCs w:val="32"/>
        </w:rPr>
        <w:t>公用经费0.00万元，单位无公用经费。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10辆，与公务用车保有量差异原因是：差异车辆为一般业务用车</w:t>
      </w:r>
      <w:r>
        <w:rPr>
          <w:rFonts w:hint="eastAsia" w:ascii="仿宋_GB2312" w:eastAsia="仿宋_GB2312"/>
          <w:sz w:val="32"/>
          <w:szCs w:val="32"/>
          <w:lang w:val="en-US" w:eastAsia="zh-CN"/>
        </w:rPr>
        <w:t>10</w:t>
      </w:r>
      <w:r>
        <w:rPr>
          <w:rFonts w:hint="eastAsia" w:ascii="仿宋_GB2312" w:eastAsia="仿宋_GB2312"/>
          <w:sz w:val="32"/>
          <w:szCs w:val="32"/>
        </w:rPr>
        <w:t>辆，预算未安排公务用车运行维护费。</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2023年度政府性基金预算财政拨款收入总计4,000.00万元，其中：年初结转和结余0.00万元，本年收入4,000.00万元。政府性基金预算财政拨款支出总计4,000.00万元，其中：年末结转和结余0.00万元，本年支出4,000.00万元。</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2,000.00万元,下降33.33%,主要原因是：单位本年公共卫生设施综合能力提升及传染病区建设项目经费减少。与年初预算相比,年初预算数0.00万元，决算数4,000.00万元，预决算差异率100.00%，主要原因是：年中追加公共卫生设施综合能力提升及传染病区建设项目经费。</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政府性基金预算财政拨款支出4,000.00万元。</w:t>
      </w:r>
    </w:p>
    <w:p>
      <w:pPr>
        <w:ind w:firstLine="640" w:firstLineChars="200"/>
        <w:rPr>
          <w:rFonts w:ascii="仿宋_GB2312" w:eastAsia="仿宋_GB2312"/>
          <w:sz w:val="32"/>
          <w:szCs w:val="32"/>
        </w:rPr>
      </w:pPr>
      <w:r>
        <w:rPr>
          <w:rFonts w:hint="eastAsia" w:ascii="仿宋_GB2312" w:eastAsia="仿宋_GB2312"/>
          <w:sz w:val="32"/>
          <w:szCs w:val="32"/>
        </w:rPr>
        <w:t>1.其他支出（类）其他政府性基金及对应专项债务收入安排的支出（款）其他地方自行试点项目收益专项债券收入安排的支出（项）:支出决算数为4,000.00万元，比上年决算减少2,000.00万元，下降33.33%，主要原因是：单位本年公共卫生设施综合能力提升及传染病区建设项目经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2023年度木垒哈萨克自治县人民医院（事业单位）公用经费支出0.00万元，比上年减少172.00万元，下降100.00%，主要原因是：单位本年</w:t>
      </w:r>
      <w:r>
        <w:rPr>
          <w:rFonts w:hint="eastAsia" w:ascii="仿宋_GB2312" w:eastAsia="仿宋_GB2312"/>
          <w:sz w:val="32"/>
          <w:szCs w:val="32"/>
          <w:lang w:val="en-US" w:eastAsia="zh-CN"/>
        </w:rPr>
        <w:t>专用材料费、其他交通</w:t>
      </w:r>
      <w:r>
        <w:rPr>
          <w:rFonts w:hint="eastAsia" w:ascii="仿宋_GB2312" w:eastAsia="仿宋_GB2312"/>
          <w:sz w:val="32"/>
          <w:szCs w:val="32"/>
        </w:rPr>
        <w:t>费</w:t>
      </w:r>
      <w:r>
        <w:rPr>
          <w:rFonts w:hint="eastAsia" w:ascii="仿宋_GB2312" w:eastAsia="仿宋_GB2312"/>
          <w:sz w:val="32"/>
          <w:szCs w:val="32"/>
          <w:lang w:val="en-US" w:eastAsia="zh-CN"/>
        </w:rPr>
        <w:t>减少</w:t>
      </w:r>
      <w:r>
        <w:rPr>
          <w:rFonts w:hint="eastAsia" w:ascii="仿宋_GB2312"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2023年度政府采购支出总额2,097.76万元，其中：政府采购货物支出1,865.75万元、政府采购工程支出10.18万元、政府采购服务支出221.83万元。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授予中小企业合同金额2,091.31万元，占政府采购支出总额的99.69</w:t>
      </w:r>
      <w:r>
        <w:rPr>
          <w:rFonts w:ascii="仿宋_GB2312" w:eastAsia="仿宋_GB2312"/>
          <w:sz w:val="32"/>
          <w:szCs w:val="32"/>
        </w:rPr>
        <w:t>%</w:t>
      </w:r>
      <w:r>
        <w:rPr>
          <w:rFonts w:hint="eastAsia" w:ascii="仿宋_GB2312" w:eastAsia="仿宋_GB2312"/>
          <w:sz w:val="32"/>
          <w:szCs w:val="32"/>
        </w:rPr>
        <w:t>，其中：授予小微企业合同金额1,336.26万元，占政府采购支出总额的63.70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20,399.61万元，房屋25,109.64平方米，价值7,417.83万元。车辆10辆，价值490.70万元，其中：副部（省）级及以上领导用车0辆、主要负责人用车0辆、机要通信用车0辆、应急保障用车0辆、执法执勤用车0辆、特种专业技术用车0辆、离退休干部服务用车0辆、其他用车10辆，其他用车主要是：单位业务用车；单价100万元（含）以上设备（不含车辆）19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预算总额13,678.72万元，实际执行总额13,678.72万元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911.05万元，全年执行数911.05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8522" w:type="dxa"/>
        <w:tblInd w:w="0" w:type="dxa"/>
        <w:tblLayout w:type="fixed"/>
        <w:tblCellMar>
          <w:top w:w="0" w:type="dxa"/>
          <w:left w:w="108" w:type="dxa"/>
          <w:bottom w:w="0" w:type="dxa"/>
          <w:right w:w="108" w:type="dxa"/>
        </w:tblCellMar>
      </w:tblPr>
      <w:tblGrid>
        <w:gridCol w:w="1187"/>
        <w:gridCol w:w="906"/>
        <w:gridCol w:w="1134"/>
        <w:gridCol w:w="1417"/>
        <w:gridCol w:w="1418"/>
        <w:gridCol w:w="850"/>
        <w:gridCol w:w="993"/>
        <w:gridCol w:w="617"/>
      </w:tblGrid>
      <w:tr>
        <w:tblPrEx>
          <w:tblLayout w:type="fixed"/>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335"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val="en-US" w:eastAsia="zh-CN"/>
              </w:rPr>
              <w:t>人民</w:t>
            </w:r>
            <w:r>
              <w:rPr>
                <w:rFonts w:hint="eastAsia" w:cs="宋体" w:asciiTheme="minorEastAsia" w:hAnsiTheme="minorEastAsia" w:eastAsiaTheme="minorEastAsia"/>
                <w:kern w:val="0"/>
                <w:sz w:val="20"/>
                <w:szCs w:val="20"/>
              </w:rPr>
              <w:t>医院</w:t>
            </w:r>
          </w:p>
        </w:tc>
      </w:tr>
      <w:tr>
        <w:tblPrEx>
          <w:tblLayout w:type="fixed"/>
          <w:tblCellMar>
            <w:top w:w="0" w:type="dxa"/>
            <w:left w:w="108" w:type="dxa"/>
            <w:bottom w:w="0" w:type="dxa"/>
            <w:right w:w="108" w:type="dxa"/>
          </w:tblCellMar>
        </w:tblPrEx>
        <w:trPr>
          <w:trHeight w:val="57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2,318.28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4,848.91</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7,167.19</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147.81%</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8,829.81</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6,511.53</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2,318.28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13,678.72</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13,678.72</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705"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45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878"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45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为全县人民身体健康提供医疗与护理保健服务。开展医疗与护理医学教学、医疗研究、卫生医疗专业人员培训。突发公共卫生和传染性疾病的救治等工作。承担本县急救和各类突发事故的现场抢救及院内急救，诊治本县群众常见病、多发病等。</w:t>
            </w:r>
          </w:p>
        </w:tc>
        <w:tc>
          <w:tcPr>
            <w:tcW w:w="38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本年实际我单位完成了：保障办公人员数量333人，房屋建筑物供暖面积25109.64平方米，公务保障用车数量10辆。为人民身体健康提供医疗，开展医疗与护理医学教学、医疗研究、卫生医疗专业人员培训突发公共卫生和传染性疾病的救治等工作。承担本县急救和各类突发事故的现场抢救及院内急救，诊治本县群众常见病、多发病等。</w:t>
            </w:r>
          </w:p>
        </w:tc>
      </w:tr>
      <w:tr>
        <w:tblPrEx>
          <w:tblLayout w:type="fixed"/>
          <w:tblCellMar>
            <w:top w:w="0" w:type="dxa"/>
            <w:left w:w="108" w:type="dxa"/>
            <w:bottom w:w="0" w:type="dxa"/>
            <w:right w:w="108" w:type="dxa"/>
          </w:tblCellMar>
        </w:tblPrEx>
        <w:trPr>
          <w:trHeight w:val="580" w:hRule="atLeast"/>
        </w:trPr>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&gt;=280人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人民医院单位机构改革方案</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333人</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tblPrEx>
          <w:tblLayout w:type="fixed"/>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&gt;=24000平方米</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人民医院单位机构改革方案</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25109.64平方米</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tblPrEx>
          <w:tblLayout w:type="fixed"/>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&gt;=12辆</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人民医院单位机构改革方案</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10辆</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w:t>
            </w:r>
          </w:p>
        </w:tc>
      </w:tr>
      <w:tr>
        <w:tblPrEx>
          <w:tblLayout w:type="fixed"/>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组织各类医疗教学培训及学习次数</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&gt;=15次</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33次</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Layout w:type="fixed"/>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医学教学培训覆盖率</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全民免费体检人数</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&gt;=8000人</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8000人</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全民免费体检覆盖率</w:t>
            </w: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居民健康档案规范化电子建档率</w:t>
            </w: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医保人才培训合格率</w:t>
            </w: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99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tblPrEx>
          <w:tblLayout w:type="fixed"/>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13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接诊及时率</w:t>
            </w: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90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患者合理诉求解决率</w:t>
            </w: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9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9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患者满意度</w:t>
            </w: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c>
          <w:tcPr>
            <w:tcW w:w="99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603"/>
        <w:gridCol w:w="607"/>
        <w:gridCol w:w="1212"/>
        <w:gridCol w:w="126"/>
        <w:gridCol w:w="671"/>
        <w:gridCol w:w="417"/>
        <w:gridCol w:w="870"/>
        <w:gridCol w:w="765"/>
        <w:gridCol w:w="475"/>
        <w:gridCol w:w="430"/>
        <w:gridCol w:w="488"/>
        <w:gridCol w:w="425"/>
        <w:gridCol w:w="490"/>
        <w:gridCol w:w="720"/>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08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2022年度五个好党支部示范点补助经费</w:t>
            </w:r>
          </w:p>
        </w:tc>
      </w:tr>
      <w:tr>
        <w:tblPrEx>
          <w:tblLayout w:type="fixed"/>
          <w:tblCellMar>
            <w:top w:w="0" w:type="dxa"/>
            <w:left w:w="108" w:type="dxa"/>
            <w:bottom w:w="0" w:type="dxa"/>
            <w:right w:w="108" w:type="dxa"/>
          </w:tblCellMar>
        </w:tblPrEx>
        <w:trPr>
          <w:trHeight w:val="280" w:hRule="atLeast"/>
        </w:trPr>
        <w:tc>
          <w:tcPr>
            <w:tcW w:w="1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9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5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2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2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6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0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9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0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木垒县人民医院计划使用五个好党支部示范点补助经费资金0.12万元，用于购买宣传资料等，积极落实党政宣传，抓好党支部工作。</w:t>
            </w:r>
          </w:p>
        </w:tc>
        <w:tc>
          <w:tcPr>
            <w:tcW w:w="3793"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我单位已完成如下工作：购买报刊数量5份，购买报刊种类5类。木垒县人民医院使用五个好党支部示范点补助经费资金0.12万元，用于购买宣传资料报刊资料等，积极落实党政宣传，抓好党支部工作。</w:t>
            </w:r>
          </w:p>
        </w:tc>
      </w:tr>
      <w:tr>
        <w:tblPrEx>
          <w:tblLayout w:type="fixed"/>
          <w:tblCellMar>
            <w:top w:w="0" w:type="dxa"/>
            <w:left w:w="108" w:type="dxa"/>
            <w:bottom w:w="0" w:type="dxa"/>
            <w:right w:w="108" w:type="dxa"/>
          </w:tblCellMar>
        </w:tblPrEx>
        <w:trPr>
          <w:trHeight w:val="312" w:hRule="atLeast"/>
        </w:trPr>
        <w:tc>
          <w:tcPr>
            <w:tcW w:w="6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购买报刊数量</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&gt;=5份</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=5份</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购买月份数</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&gt;=12个月</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购买报刊种类</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&gt;=3类</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=5类</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其他种类报刊需求增加。</w:t>
            </w: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报刊质量合格率</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报刊采购完成时间</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购买人民日报成本</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=288元</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购买求是报刊成本</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=264元</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购买新疆日报成本</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&lt;=800元</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=408元</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报刊阅读率</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6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27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84.5分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46" w:type="dxa"/>
        <w:tblInd w:w="0" w:type="dxa"/>
        <w:tblLayout w:type="fixed"/>
        <w:tblCellMar>
          <w:top w:w="0" w:type="dxa"/>
          <w:left w:w="108" w:type="dxa"/>
          <w:bottom w:w="0" w:type="dxa"/>
          <w:right w:w="108" w:type="dxa"/>
        </w:tblCellMar>
      </w:tblPr>
      <w:tblGrid>
        <w:gridCol w:w="415"/>
        <w:gridCol w:w="416"/>
        <w:gridCol w:w="1203"/>
        <w:gridCol w:w="511"/>
        <w:gridCol w:w="1200"/>
        <w:gridCol w:w="716"/>
        <w:gridCol w:w="716"/>
        <w:gridCol w:w="718"/>
        <w:gridCol w:w="267"/>
        <w:gridCol w:w="249"/>
        <w:gridCol w:w="304"/>
        <w:gridCol w:w="434"/>
        <w:gridCol w:w="481"/>
        <w:gridCol w:w="716"/>
      </w:tblGrid>
      <w:tr>
        <w:tblPrEx>
          <w:tblLayout w:type="fixed"/>
          <w:tblCellMar>
            <w:top w:w="0" w:type="dxa"/>
            <w:left w:w="108" w:type="dxa"/>
            <w:bottom w:w="0" w:type="dxa"/>
            <w:right w:w="108" w:type="dxa"/>
          </w:tblCellMar>
        </w:tblPrEx>
        <w:trPr>
          <w:trHeight w:val="420" w:hRule="atLeast"/>
        </w:trPr>
        <w:tc>
          <w:tcPr>
            <w:tcW w:w="8346"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46"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5"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2022年牧民计划生育免费技术服务资金</w:t>
            </w:r>
          </w:p>
        </w:tc>
      </w:tr>
      <w:tr>
        <w:tblPrEx>
          <w:tblLayout w:type="fixed"/>
          <w:tblCellMar>
            <w:top w:w="0" w:type="dxa"/>
            <w:left w:w="108" w:type="dxa"/>
            <w:bottom w:w="0" w:type="dxa"/>
            <w:right w:w="108" w:type="dxa"/>
          </w:tblCellMar>
        </w:tblPrEx>
        <w:trPr>
          <w:trHeight w:val="280" w:hRule="atLeast"/>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4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8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6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6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62"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木垒县人民医院计划使用牧民计划生育免费技术服务项目资金0.27万元，用于购置宣传计划生育设备、宣传资料、用品等，积极落实优生促进工程，为广大育龄群众提供优质服务。</w:t>
            </w:r>
          </w:p>
        </w:tc>
        <w:tc>
          <w:tcPr>
            <w:tcW w:w="316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置宣传用投影数量1台，购置办公文件柜数量1组，购置收纳用品数量2个。木垒县人民医院计划使用牧民计划生育免费技术服务项目资金0.27万元，已完成资金支付，用于购置宣传计划生育设备、宣传资料、用品等，积极落实优生促进工程，为广大育龄群众提供优质服务。</w:t>
            </w:r>
          </w:p>
        </w:tc>
      </w:tr>
      <w:tr>
        <w:tblPrEx>
          <w:tblLayout w:type="fixed"/>
          <w:tblCellMar>
            <w:top w:w="0" w:type="dxa"/>
            <w:left w:w="108" w:type="dxa"/>
            <w:bottom w:w="0" w:type="dxa"/>
            <w:right w:w="108" w:type="dxa"/>
          </w:tblCellMar>
        </w:tblPrEx>
        <w:trPr>
          <w:trHeight w:val="312" w:hRule="atLeast"/>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2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2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3" w:type="dxa"/>
            <w:vMerge w:val="restart"/>
            <w:tcBorders>
              <w:top w:val="nil"/>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购置宣传用投影数量</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vMerge w:val="continue"/>
            <w:tcBorders>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购置办公文件柜数量</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&gt;=1组</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=1组</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vMerge w:val="continue"/>
            <w:tcBorders>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购置收纳用品数量</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vMerge w:val="restart"/>
            <w:tcBorders>
              <w:top w:val="nil"/>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vMerge w:val="continue"/>
            <w:tcBorders>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vMerge w:val="continue"/>
            <w:tcBorders>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设备采购完成时间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购置宣传用投影成本控制数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=580元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6.42</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购置办公文件柜成本控制数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&lt;=800元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=760元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6.13</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购置收纳用品成本控制数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=555元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4.88</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计划生育免费技术服务政策知晓率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8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57"/>
        <w:gridCol w:w="558"/>
        <w:gridCol w:w="1188"/>
        <w:gridCol w:w="262"/>
        <w:gridCol w:w="815"/>
        <w:gridCol w:w="510"/>
        <w:gridCol w:w="820"/>
        <w:gridCol w:w="722"/>
        <w:gridCol w:w="418"/>
        <w:gridCol w:w="377"/>
        <w:gridCol w:w="438"/>
        <w:gridCol w:w="427"/>
        <w:gridCol w:w="488"/>
        <w:gridCol w:w="719"/>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8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2023年度州级重点人才项目经费</w:t>
            </w:r>
          </w:p>
        </w:tc>
      </w:tr>
      <w:tr>
        <w:tblPrEx>
          <w:tblLayout w:type="fixed"/>
          <w:tblCellMar>
            <w:top w:w="0" w:type="dxa"/>
            <w:left w:w="108" w:type="dxa"/>
            <w:bottom w:w="0" w:type="dxa"/>
            <w:right w:w="108" w:type="dxa"/>
          </w:tblCellMar>
        </w:tblPrEx>
        <w:trPr>
          <w:trHeight w:val="280" w:hRule="atLeast"/>
        </w:trPr>
        <w:tc>
          <w:tcPr>
            <w:tcW w:w="1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4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11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3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3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5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昌吉州知识分子国情研究项目”等2023年度州级重点人才项目，用于支付翟文婷赴山西太原学习的培训费，该项目可使医疗领域人才引进得到加强，高层次人才培养增强，能建设一批州级高层次人才工作室，优化人才服务激励水平。</w:t>
            </w:r>
          </w:p>
        </w:tc>
        <w:tc>
          <w:tcPr>
            <w:tcW w:w="358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用于支付翟文婷赴山西太原学习的培训费3万元，培训费支付及时率达到100%,该项目可使医疗领域人才引进得到加强，高层次人才培养增强，能建设一批州级高层次人才工作室，优化人才服务激励水平。</w:t>
            </w:r>
          </w:p>
        </w:tc>
      </w:tr>
      <w:tr>
        <w:tblPrEx>
          <w:tblLayout w:type="fixed"/>
          <w:tblCellMar>
            <w:top w:w="0" w:type="dxa"/>
            <w:left w:w="108" w:type="dxa"/>
            <w:bottom w:w="0" w:type="dxa"/>
            <w:right w:w="108" w:type="dxa"/>
          </w:tblCellMar>
        </w:tblPrEx>
        <w:trPr>
          <w:trHeight w:val="312" w:hRule="atLeast"/>
        </w:trPr>
        <w:tc>
          <w:tcPr>
            <w:tcW w:w="5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8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培养高层次人才数</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培训天数</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&gt;=30天</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培训费支付率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高层次人才培训合格率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培训费支付及时率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高层次人才覆盖率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8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培养人员满意度</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43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86" w:type="dxa"/>
        <w:jc w:val="center"/>
        <w:tblInd w:w="0" w:type="dxa"/>
        <w:tblLayout w:type="fixed"/>
        <w:tblCellMar>
          <w:top w:w="0" w:type="dxa"/>
          <w:left w:w="108" w:type="dxa"/>
          <w:bottom w:w="0" w:type="dxa"/>
          <w:right w:w="108" w:type="dxa"/>
        </w:tblCellMar>
      </w:tblPr>
      <w:tblGrid>
        <w:gridCol w:w="325"/>
        <w:gridCol w:w="493"/>
        <w:gridCol w:w="1420"/>
        <w:gridCol w:w="391"/>
        <w:gridCol w:w="1311"/>
        <w:gridCol w:w="458"/>
        <w:gridCol w:w="1150"/>
        <w:gridCol w:w="797"/>
        <w:gridCol w:w="481"/>
        <w:gridCol w:w="228"/>
        <w:gridCol w:w="395"/>
        <w:gridCol w:w="343"/>
        <w:gridCol w:w="494"/>
      </w:tblGrid>
      <w:tr>
        <w:tblPrEx>
          <w:tblLayout w:type="fixed"/>
          <w:tblCellMar>
            <w:top w:w="0" w:type="dxa"/>
            <w:left w:w="108" w:type="dxa"/>
            <w:bottom w:w="0" w:type="dxa"/>
            <w:right w:w="108" w:type="dxa"/>
          </w:tblCellMar>
        </w:tblPrEx>
        <w:trPr>
          <w:trHeight w:val="420" w:hRule="atLeast"/>
          <w:jc w:val="center"/>
        </w:trPr>
        <w:tc>
          <w:tcPr>
            <w:tcW w:w="8286" w:type="dxa"/>
            <w:gridSpan w:val="13"/>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jc w:val="center"/>
        </w:trPr>
        <w:tc>
          <w:tcPr>
            <w:tcW w:w="8286" w:type="dxa"/>
            <w:gridSpan w:val="13"/>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jc w:val="center"/>
        </w:trPr>
        <w:tc>
          <w:tcPr>
            <w:tcW w:w="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1"/>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2023年中央财政医疗服务与保障能力提升（公立医院综合改革）补助资金 昌州财社（2022）44号-关于提前下达2023年中央财政医疗服务与保障能力提升（公立医院综合改革）补助资金</w:t>
            </w:r>
          </w:p>
        </w:tc>
      </w:tr>
      <w:tr>
        <w:tblPrEx>
          <w:tblLayout w:type="fixed"/>
          <w:tblCellMar>
            <w:top w:w="0" w:type="dxa"/>
            <w:left w:w="108" w:type="dxa"/>
            <w:bottom w:w="0" w:type="dxa"/>
            <w:right w:w="108" w:type="dxa"/>
          </w:tblCellMar>
        </w:tblPrEx>
        <w:trPr>
          <w:trHeight w:val="280" w:hRule="atLeast"/>
          <w:jc w:val="center"/>
        </w:trPr>
        <w:tc>
          <w:tcPr>
            <w:tcW w:w="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jc w:val="center"/>
        </w:trPr>
        <w:tc>
          <w:tcPr>
            <w:tcW w:w="8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4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jc w:val="center"/>
        </w:trPr>
        <w:tc>
          <w:tcPr>
            <w:tcW w:w="8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4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1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jc w:val="center"/>
        </w:trPr>
        <w:tc>
          <w:tcPr>
            <w:tcW w:w="8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4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1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jc w:val="center"/>
        </w:trPr>
        <w:tc>
          <w:tcPr>
            <w:tcW w:w="8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jc w:val="center"/>
        </w:trPr>
        <w:tc>
          <w:tcPr>
            <w:tcW w:w="3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7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8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73"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目标1：深化公立医院综合改革，建立健全现代医院管理制度。目标2：协调推进医疗价格、人事薪酬、药品物流、医保支付改革，提高医疗卫生服务质量。 目标3：加强医疗人员医疗救助能力及技能水平；巩固二甲医院成果。</w:t>
            </w:r>
          </w:p>
        </w:tc>
        <w:tc>
          <w:tcPr>
            <w:tcW w:w="3888"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支付药品款供应商数3家，支付卫生材料款供应商数3家，培训计划完成率均达到95%以上。全年已完成资金支付103万，用于支付药品及耗材款，保障患者看病用药，协调推进医疗价格、人事薪酬、药品物流、医保支付改革，提高医疗卫生服务质量。</w:t>
            </w:r>
          </w:p>
        </w:tc>
      </w:tr>
      <w:tr>
        <w:tblPrEx>
          <w:tblLayout w:type="fixed"/>
          <w:tblCellMar>
            <w:top w:w="0" w:type="dxa"/>
            <w:left w:w="108" w:type="dxa"/>
            <w:bottom w:w="0" w:type="dxa"/>
            <w:right w:w="108" w:type="dxa"/>
          </w:tblCellMar>
        </w:tblPrEx>
        <w:trPr>
          <w:trHeight w:val="312" w:hRule="atLeast"/>
          <w:jc w:val="center"/>
        </w:trPr>
        <w:tc>
          <w:tcPr>
            <w:tcW w:w="3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6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6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公立医院负债率</w:t>
            </w:r>
          </w:p>
        </w:tc>
        <w:tc>
          <w:tcPr>
            <w:tcW w:w="115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&lt;=40.4%</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21.06%</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0</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负债率下降。</w:t>
            </w: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支付药品款供应商数</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10</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支付卫生材料款供应商数</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10</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公立医院医疗服务收入（不含药品、耗材、检查、化验收入占医疗收入的比例）</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&gt;=21%</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28.76%</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3.2</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收入增加。</w:t>
            </w: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医疗人才培养合格率</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培训计划完成率</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&gt;=95%</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95.00%</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医保信息系统正常运行率</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&gt;=95%</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95.00%</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3</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支付的药品费用支出数</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&lt;=59.48万元</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=57万元</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6.27</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药品费用支出增加</w:t>
            </w: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支付的材料费用支出</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&lt;=43.52万元</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=46万元</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6.65</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材料成本下降</w:t>
            </w: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增加患者购药成本事件</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=0起</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=0起</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患者合理诉求解决率</w:t>
            </w: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20</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jc w:val="center"/>
        </w:trPr>
        <w:tc>
          <w:tcPr>
            <w:tcW w:w="3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797"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333333"/>
                <w:kern w:val="0"/>
                <w:sz w:val="20"/>
                <w:szCs w:val="20"/>
              </w:rPr>
            </w:pP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3"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333333"/>
                <w:kern w:val="0"/>
                <w:sz w:val="22"/>
                <w:szCs w:val="22"/>
              </w:rPr>
            </w:pP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jc w:val="center"/>
        </w:trPr>
        <w:tc>
          <w:tcPr>
            <w:tcW w:w="63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77.12分</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80"/>
        <w:gridCol w:w="585"/>
        <w:gridCol w:w="1099"/>
        <w:gridCol w:w="292"/>
        <w:gridCol w:w="744"/>
        <w:gridCol w:w="468"/>
        <w:gridCol w:w="840"/>
        <w:gridCol w:w="739"/>
        <w:gridCol w:w="450"/>
        <w:gridCol w:w="402"/>
        <w:gridCol w:w="465"/>
        <w:gridCol w:w="425"/>
        <w:gridCol w:w="490"/>
        <w:gridCol w:w="720"/>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3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2023年中央财政医疗服务与保障能力提升（公立医院综合改革）补助资金项目（第二批）</w:t>
            </w:r>
          </w:p>
        </w:tc>
      </w:tr>
      <w:tr>
        <w:tblPrEx>
          <w:tblLayout w:type="fixed"/>
          <w:tblCellMar>
            <w:top w:w="0" w:type="dxa"/>
            <w:left w:w="108" w:type="dxa"/>
            <w:bottom w:w="0" w:type="dxa"/>
            <w:right w:w="108" w:type="dxa"/>
          </w:tblCellMar>
        </w:tblPrEx>
        <w:trPr>
          <w:trHeight w:val="280" w:hRule="atLeast"/>
        </w:trPr>
        <w:tc>
          <w:tcPr>
            <w:tcW w:w="11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4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11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1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1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2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9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8"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19号文件要求，计划关于拨付2023年中央财政医疗服务与保障能力提升（公立医院综合改革）补助资金（第二批）文件，用于推进公立医院综合改革，结合县医院临床专科建设基础，通过重点专科建设、县域医共体、设备采购、技术引进等，进一步完善县域医疗卫生服务体系，不断满足县域患者不同层次的看病就医需求。</w:t>
            </w:r>
          </w:p>
        </w:tc>
        <w:tc>
          <w:tcPr>
            <w:tcW w:w="369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购置监护类设备1台，购置治疗用设备1台，医疗设备安装合格率均达到100%。计划关于拨付2023年中央财政医疗服务与保障能力提升（公立医院综合改革）补助资金（第二批）文件，我院已完成项目资金17万元的支付，主要用于购置医疗设备，采购卫生耗材推进公立医院综合改革，结合县医院临床专科建设基础，通过重点专科建设、县域医共体、设备采购、技术引进等，进一步完善县域医疗卫生服务体系，不断满足县域患者不同层次的看病就医需求。</w:t>
            </w:r>
          </w:p>
        </w:tc>
      </w:tr>
      <w:tr>
        <w:tblPrEx>
          <w:tblLayout w:type="fixed"/>
          <w:tblCellMar>
            <w:top w:w="0" w:type="dxa"/>
            <w:left w:w="108" w:type="dxa"/>
            <w:bottom w:w="0" w:type="dxa"/>
            <w:right w:w="108" w:type="dxa"/>
          </w:tblCellMar>
        </w:tblPrEx>
        <w:trPr>
          <w:trHeight w:val="312" w:hRule="atLeast"/>
        </w:trPr>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0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购置监护类设备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购置治疗用设备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医疗设备安装合格率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采购完成及时率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购置监护设备成本</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购置手术设备成本</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医疗设备综合利用率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设备使用者满意度</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34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21" w:type="dxa"/>
        <w:tblInd w:w="0" w:type="dxa"/>
        <w:tblLayout w:type="fixed"/>
        <w:tblCellMar>
          <w:top w:w="0" w:type="dxa"/>
          <w:left w:w="108" w:type="dxa"/>
          <w:bottom w:w="0" w:type="dxa"/>
          <w:right w:w="108" w:type="dxa"/>
        </w:tblCellMar>
      </w:tblPr>
      <w:tblGrid>
        <w:gridCol w:w="414"/>
        <w:gridCol w:w="416"/>
        <w:gridCol w:w="1186"/>
        <w:gridCol w:w="292"/>
        <w:gridCol w:w="1340"/>
        <w:gridCol w:w="614"/>
        <w:gridCol w:w="915"/>
        <w:gridCol w:w="817"/>
        <w:gridCol w:w="266"/>
        <w:gridCol w:w="250"/>
        <w:gridCol w:w="175"/>
        <w:gridCol w:w="431"/>
        <w:gridCol w:w="484"/>
        <w:gridCol w:w="721"/>
      </w:tblGrid>
      <w:tr>
        <w:tblPrEx>
          <w:tblLayout w:type="fixed"/>
          <w:tblCellMar>
            <w:top w:w="0" w:type="dxa"/>
            <w:left w:w="108" w:type="dxa"/>
            <w:bottom w:w="0" w:type="dxa"/>
            <w:right w:w="108" w:type="dxa"/>
          </w:tblCellMar>
        </w:tblPrEx>
        <w:trPr>
          <w:trHeight w:val="420" w:hRule="atLeast"/>
        </w:trPr>
        <w:tc>
          <w:tcPr>
            <w:tcW w:w="8321"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21"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1"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2023年中央第二批重大传染病防控补助资金</w:t>
            </w:r>
          </w:p>
        </w:tc>
      </w:tr>
      <w:tr>
        <w:tblPrEx>
          <w:tblLayout w:type="fixed"/>
          <w:tblCellMar>
            <w:top w:w="0" w:type="dxa"/>
            <w:left w:w="108" w:type="dxa"/>
            <w:bottom w:w="0" w:type="dxa"/>
            <w:right w:w="108" w:type="dxa"/>
          </w:tblCellMar>
        </w:tblPrEx>
        <w:trPr>
          <w:trHeight w:val="280" w:hRule="atLeast"/>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4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8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6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4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6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木垒哈萨克自治县人民医院计划使用重大传染病防控专项资金2.57万元，专项用于扩大国家免疫规划、艾滋病防治、结核病防治、精神卫生与慢性非传染性疾病防治等重大公共卫生服务有关工作。</w:t>
            </w:r>
          </w:p>
        </w:tc>
        <w:tc>
          <w:tcPr>
            <w:tcW w:w="314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买结核病防治、筛查试剂数量100份，印制慢病防控宣传资料数量20000份，购买结核病防治试管数量50支。垒哈萨克自治县人民医院已完成重大传染病防控专项资金2.57万元支付工作，用于支付重大传人防控所需材料款，扩大国家免疫规划、艾滋病防治、结核病防治、精神卫生与慢性非传染性疾病防治等重大公共卫生服务有关工作。</w:t>
            </w:r>
          </w:p>
        </w:tc>
      </w:tr>
      <w:tr>
        <w:tblPrEx>
          <w:tblLayout w:type="fixed"/>
          <w:tblCellMar>
            <w:top w:w="0" w:type="dxa"/>
            <w:left w:w="108" w:type="dxa"/>
            <w:bottom w:w="0" w:type="dxa"/>
            <w:right w:w="108" w:type="dxa"/>
          </w:tblCellMar>
        </w:tblPrEx>
        <w:trPr>
          <w:trHeight w:val="312" w:hRule="atLeast"/>
        </w:trPr>
        <w:tc>
          <w:tcPr>
            <w:tcW w:w="4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4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4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购买结核病防治、筛查试剂数量</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&gt;=50份</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=100份</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筛查试剂数量需求增加，购买量增加。</w:t>
            </w: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印制慢病防控宣传资料数量</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&gt;=20000份</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=20000份</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购买结核病防治试管数量</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&gt;=50支</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=50支</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购买试管试剂质量合格率</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购买试管试剂及时率</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结核病防治经费</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慢性病综合防控经费</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&lt;=5700元</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=5700元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有责投诉事件发生数量</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结核病患者管理规范率</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重大传染病防控政策知晓率</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4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9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92分</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22"/>
        <w:gridCol w:w="520"/>
        <w:gridCol w:w="1081"/>
        <w:gridCol w:w="330"/>
        <w:gridCol w:w="817"/>
        <w:gridCol w:w="513"/>
        <w:gridCol w:w="923"/>
        <w:gridCol w:w="823"/>
        <w:gridCol w:w="390"/>
        <w:gridCol w:w="342"/>
        <w:gridCol w:w="405"/>
        <w:gridCol w:w="423"/>
        <w:gridCol w:w="491"/>
        <w:gridCol w:w="719"/>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5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关于提前下达2023年中央财政医疗服务与保障能力提升（医疗卫生机构能力建设）补助资金预算的通知</w:t>
            </w:r>
          </w:p>
        </w:tc>
      </w:tr>
      <w:tr>
        <w:tblPrEx>
          <w:tblLayout w:type="fixed"/>
          <w:tblCellMar>
            <w:top w:w="0" w:type="dxa"/>
            <w:left w:w="108" w:type="dxa"/>
            <w:bottom w:w="0" w:type="dxa"/>
            <w:right w:w="108" w:type="dxa"/>
          </w:tblCellMar>
        </w:tblPrEx>
        <w:trPr>
          <w:trHeight w:val="280" w:hRule="atLeast"/>
        </w:trPr>
        <w:tc>
          <w:tcPr>
            <w:tcW w:w="10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6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10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8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8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52号文件要求，计划关于拨付2022年中央医疗服务与保障能力提升（医疗卫生能力建设）补助资金（第二批）文件，结合县医院临床专科建设基础，通过重点专科建设、县域医共体、设备采购、技术引进等，进一步完善县域医疗卫生服务体系，不断满足县域患者不同层次的看病就医需求。</w:t>
            </w:r>
          </w:p>
        </w:tc>
        <w:tc>
          <w:tcPr>
            <w:tcW w:w="3593"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购置打印机数量9台，办公电脑购买数量12台，信息化建设软件1套，信息软件安装合格率均达到100%。计划关于拨付2022年中央医疗服务与保障能力提升（医疗卫生能力建设）补助资金（第二批）文件，我院已完成200万项目资金支付，用于购置医疗设备，结合县医院临床专科建设基础，通过重点专科建设、县域医共体、设备采购、技术引进等，进一步完善县域医疗卫生服务体系，不断满足县域患者不同层次的看病就医需求。</w:t>
            </w:r>
          </w:p>
        </w:tc>
      </w:tr>
      <w:tr>
        <w:tblPrEx>
          <w:tblLayout w:type="fixed"/>
          <w:tblCellMar>
            <w:top w:w="0" w:type="dxa"/>
            <w:left w:w="108" w:type="dxa"/>
            <w:bottom w:w="0" w:type="dxa"/>
            <w:right w:w="108" w:type="dxa"/>
          </w:tblCellMar>
        </w:tblPrEx>
        <w:trPr>
          <w:trHeight w:val="312" w:hRule="atLeast"/>
        </w:trPr>
        <w:tc>
          <w:tcPr>
            <w:tcW w:w="5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购置打印机数量</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&gt;=5台</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=9台</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打印机需求增加，购买量增加。</w:t>
            </w: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办公电脑购买数量</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&gt;=5台</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=12台</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办公电脑需求增加，购买量增加。</w:t>
            </w: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信息化建设软件</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&gt;=1套</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=1套</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信息软件安装合格率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办公设备验收合格率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购置办公设备费用</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&lt;=6.40万元</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=6.4万元</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信息化建设费用</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=193.60万元</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=193.6万元</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信息化建设综合利用率</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9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5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14"/>
        <w:gridCol w:w="417"/>
        <w:gridCol w:w="1303"/>
        <w:gridCol w:w="231"/>
        <w:gridCol w:w="1484"/>
        <w:gridCol w:w="612"/>
        <w:gridCol w:w="719"/>
        <w:gridCol w:w="720"/>
        <w:gridCol w:w="305"/>
        <w:gridCol w:w="244"/>
        <w:gridCol w:w="216"/>
        <w:gridCol w:w="432"/>
        <w:gridCol w:w="483"/>
        <w:gridCol w:w="719"/>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木垒县人民医院编制备案制管理补助资金</w:t>
            </w:r>
          </w:p>
        </w:tc>
      </w:tr>
      <w:tr>
        <w:tblPrEx>
          <w:tblLayout w:type="fixed"/>
          <w:tblCellMar>
            <w:top w:w="0" w:type="dxa"/>
            <w:left w:w="108" w:type="dxa"/>
            <w:bottom w:w="0" w:type="dxa"/>
            <w:right w:w="108" w:type="dxa"/>
          </w:tblCellMar>
        </w:tblPrEx>
        <w:trPr>
          <w:trHeight w:val="280" w:hRule="atLeast"/>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4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9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8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4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13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13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6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1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66"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编制备案制管理补助资金474万元，向100名聘用人员发放474万元基本工资，目的是留住现有人才，稳定专业技术队伍，引进高层次、紧缺、急需人才和聘用关键岗位、骨干人员等，提高聘用人员待遇和归属感，帮助医院留住聘用人员，解决医院专业技术人员队伍不稳定的问题。</w:t>
            </w:r>
          </w:p>
        </w:tc>
        <w:tc>
          <w:tcPr>
            <w:tcW w:w="311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补助发放人数162人，补助发放标准2万元/人/年，发放率为100%。木垒县人民医院已完成编制备案制管理补助资金474万元支付，向100名聘用人员发放474万元基本工资，留住现有人才，稳定专业技术队伍，引进高层次、紧缺、急需人才和聘用关键岗位、骨干人员等，提高聘用人员待遇和归属感，帮助医院留住聘用人员，解决医院专业技术人员队伍不稳定的问题。</w:t>
            </w:r>
          </w:p>
        </w:tc>
      </w:tr>
      <w:tr>
        <w:tblPrEx>
          <w:tblLayout w:type="fixed"/>
          <w:tblCellMar>
            <w:top w:w="0" w:type="dxa"/>
            <w:left w:w="108" w:type="dxa"/>
            <w:bottom w:w="0" w:type="dxa"/>
            <w:right w:w="108" w:type="dxa"/>
          </w:tblCellMar>
        </w:tblPrEx>
        <w:trPr>
          <w:trHeight w:val="312" w:hRule="atLeast"/>
        </w:trPr>
        <w:tc>
          <w:tcPr>
            <w:tcW w:w="4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2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32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补助发放人数</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=162人</w:t>
            </w: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补助人数增加，年初无法精确预估。</w:t>
            </w: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补助发放标准</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&lt;=2万元/人/年</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=2万元/人/年</w:t>
            </w: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发放补助聘用人员基本待遇保障率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聘用人员满意度</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0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93.8分</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361"/>
        <w:gridCol w:w="363"/>
        <w:gridCol w:w="1272"/>
        <w:gridCol w:w="616"/>
        <w:gridCol w:w="1344"/>
        <w:gridCol w:w="540"/>
        <w:gridCol w:w="1188"/>
        <w:gridCol w:w="917"/>
        <w:gridCol w:w="440"/>
        <w:gridCol w:w="153"/>
        <w:gridCol w:w="387"/>
        <w:gridCol w:w="355"/>
        <w:gridCol w:w="586"/>
      </w:tblGrid>
      <w:tr>
        <w:tblPrEx>
          <w:tblLayout w:type="fixed"/>
          <w:tblCellMar>
            <w:top w:w="0" w:type="dxa"/>
            <w:left w:w="108" w:type="dxa"/>
            <w:bottom w:w="0" w:type="dxa"/>
            <w:right w:w="108" w:type="dxa"/>
          </w:tblCellMar>
        </w:tblPrEx>
        <w:trPr>
          <w:trHeight w:val="420" w:hRule="atLeast"/>
        </w:trPr>
        <w:tc>
          <w:tcPr>
            <w:tcW w:w="8522" w:type="dxa"/>
            <w:gridSpan w:val="13"/>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522" w:type="dxa"/>
            <w:gridSpan w:val="13"/>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98" w:type="dxa"/>
            <w:gridSpan w:val="11"/>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木垒县人民医院</w:t>
            </w:r>
            <w:r>
              <w:rPr>
                <w:rFonts w:hint="eastAsia" w:ascii="宋体" w:hAnsi="宋体" w:cs="宋体"/>
                <w:color w:val="000000"/>
                <w:kern w:val="0"/>
                <w:sz w:val="20"/>
                <w:szCs w:val="20"/>
              </w:rPr>
              <w:t>中央重大传染病防控补助项目</w:t>
            </w:r>
          </w:p>
        </w:tc>
      </w:tr>
      <w:tr>
        <w:tblPrEx>
          <w:tblLayout w:type="fixed"/>
          <w:tblCellMar>
            <w:top w:w="0" w:type="dxa"/>
            <w:left w:w="108" w:type="dxa"/>
            <w:bottom w:w="0" w:type="dxa"/>
            <w:right w:w="108" w:type="dxa"/>
          </w:tblCellMar>
        </w:tblPrEx>
        <w:trPr>
          <w:trHeight w:val="280" w:hRule="atLeast"/>
        </w:trPr>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96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9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2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7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9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5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7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9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5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3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32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3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54号-关于提前下达2022年中央重大传染病补助资金文件，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农村地区贫困传染病筛查登记和随访管理，提高患者治疗率。</w:t>
            </w:r>
          </w:p>
        </w:tc>
        <w:tc>
          <w:tcPr>
            <w:tcW w:w="2838"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完成日期：我单位依据昌州财社（2022）54号-关于提前下达2022年中央重大传染病补助资金文件资金17.83万元支付已完成，医疗设备购置数3台，严重传染病密切接触者筛查人数10人。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传染病筛查登记和随访管理，提高患者治疗率。</w:t>
            </w:r>
          </w:p>
        </w:tc>
      </w:tr>
      <w:tr>
        <w:tblPrEx>
          <w:tblLayout w:type="fixed"/>
          <w:tblCellMar>
            <w:top w:w="0" w:type="dxa"/>
            <w:left w:w="108" w:type="dxa"/>
            <w:bottom w:w="0" w:type="dxa"/>
            <w:right w:w="108" w:type="dxa"/>
          </w:tblCellMar>
        </w:tblPrEx>
        <w:trPr>
          <w:trHeight w:val="312" w:hRule="atLeast"/>
        </w:trPr>
        <w:tc>
          <w:tcPr>
            <w:tcW w:w="3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3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医疗设备购置数</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=3台</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医疗设备需求增加，购置数量增加。</w:t>
            </w: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严重传染病密切接触者筛查人数</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培训年开展次数（次）</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=7次</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培训需求增加。</w:t>
            </w: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精神疾病患者规范管理率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艾滋病患者规范管理率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支付结核病病相关宣传培训费用</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&lt;=2.80万元</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支付能力提升相关资金</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支付精神卫生项目宣传资料印刷费</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&lt;=2.23万元</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=2.23万元</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支付免疫规划及重点传染病及健康危害因素监测试剂及培训费</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&lt;=1.90万元</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=1.9万元</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支付食源性疾病宣传资料印刷费及培训费</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&lt;=0.50万元</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=0.5万元</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精神疾病电子健康档案覆盖率</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0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66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86分</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20"/>
        <w:gridCol w:w="425"/>
        <w:gridCol w:w="1151"/>
        <w:gridCol w:w="494"/>
        <w:gridCol w:w="1391"/>
        <w:gridCol w:w="612"/>
        <w:gridCol w:w="717"/>
        <w:gridCol w:w="719"/>
        <w:gridCol w:w="267"/>
        <w:gridCol w:w="247"/>
        <w:gridCol w:w="217"/>
        <w:gridCol w:w="432"/>
        <w:gridCol w:w="483"/>
        <w:gridCol w:w="724"/>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医务人员临时性工作补贴资金（第二批）</w:t>
            </w:r>
          </w:p>
        </w:tc>
      </w:tr>
      <w:tr>
        <w:tblPrEx>
          <w:tblLayout w:type="fixed"/>
          <w:tblCellMar>
            <w:top w:w="0" w:type="dxa"/>
            <w:left w:w="108" w:type="dxa"/>
            <w:bottom w:w="0" w:type="dxa"/>
            <w:right w:w="108" w:type="dxa"/>
          </w:tblCellMar>
        </w:tblPrEx>
        <w:trPr>
          <w:trHeight w:val="280" w:hRule="atLeast"/>
        </w:trPr>
        <w:tc>
          <w:tcPr>
            <w:tcW w:w="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6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90"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目标1：落实医务人员待遇。目标2：提高卫生防疫津贴标准。 目标3：项目资金要及时足额发放，确保将关心关爱医疗人员政策措施落到实处。</w:t>
            </w:r>
          </w:p>
        </w:tc>
        <w:tc>
          <w:tcPr>
            <w:tcW w:w="308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年已完成医务人员临时性补贴第二批资金7.53万元的支付，对参与新冠肺炎疫情防控的142名医务人员予以每人每天200元的补助，及时足额的完成发放，完善医疗人员临时性工作补助政策，确保将关心关爱医疗人员政策措施落到实处。</w:t>
            </w:r>
          </w:p>
        </w:tc>
      </w:tr>
      <w:tr>
        <w:tblPrEx>
          <w:tblLayout w:type="fixed"/>
          <w:tblCellMar>
            <w:top w:w="0" w:type="dxa"/>
            <w:left w:w="108" w:type="dxa"/>
            <w:bottom w:w="0" w:type="dxa"/>
            <w:right w:w="108" w:type="dxa"/>
          </w:tblCellMar>
        </w:tblPrEx>
        <w:trPr>
          <w:trHeight w:val="312" w:hRule="atLeast"/>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发放补贴人员数</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发放人数增加。</w:t>
            </w: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补贴发放标准</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&lt;=200元/人/日</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=200元/人/日</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发放补贴医务人员基本生活保障率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医务人员满意度</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95.8分</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20"/>
        <w:gridCol w:w="427"/>
        <w:gridCol w:w="1119"/>
        <w:gridCol w:w="589"/>
        <w:gridCol w:w="1328"/>
        <w:gridCol w:w="612"/>
        <w:gridCol w:w="717"/>
        <w:gridCol w:w="720"/>
        <w:gridCol w:w="267"/>
        <w:gridCol w:w="247"/>
        <w:gridCol w:w="217"/>
        <w:gridCol w:w="430"/>
        <w:gridCol w:w="485"/>
        <w:gridCol w:w="721"/>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医务人员临时性工作补贴资金</w:t>
            </w:r>
          </w:p>
        </w:tc>
      </w:tr>
      <w:tr>
        <w:tblPrEx>
          <w:tblLayout w:type="fixed"/>
          <w:tblCellMar>
            <w:top w:w="0" w:type="dxa"/>
            <w:left w:w="108" w:type="dxa"/>
            <w:bottom w:w="0" w:type="dxa"/>
            <w:right w:w="108" w:type="dxa"/>
          </w:tblCellMar>
        </w:tblPrEx>
        <w:trPr>
          <w:trHeight w:val="280" w:hRule="atLeast"/>
        </w:trPr>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6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8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92"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及时落实医务人员待遇，提高卫生防疫津贴标准，尤其是参与新冠肺炎疫情防控人员，要及时足额发放，完善医疗人员临时性工作补助政策，确保将关心关爱医疗人员政策措施落到实处。</w:t>
            </w:r>
          </w:p>
        </w:tc>
        <w:tc>
          <w:tcPr>
            <w:tcW w:w="308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年已完成医务人员临时性补贴资金84.03万元的支付，发放补贴人员数142人，对参与新冠肺炎疫情防控的142名医务人员予以每人每天200元的补助，及时足额的完成发放，完善医疗人员临时性工作补助政策，确保将关心关爱医疗人员政策措施落到实处。</w:t>
            </w:r>
          </w:p>
        </w:tc>
      </w:tr>
      <w:tr>
        <w:tblPrEx>
          <w:tblLayout w:type="fixed"/>
          <w:tblCellMar>
            <w:top w:w="0" w:type="dxa"/>
            <w:left w:w="108" w:type="dxa"/>
            <w:bottom w:w="0" w:type="dxa"/>
            <w:right w:w="108" w:type="dxa"/>
          </w:tblCellMar>
        </w:tblPrEx>
        <w:trPr>
          <w:trHeight w:val="312" w:hRule="atLeast"/>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2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发放补贴人员数</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补贴人数增加，年初无法预估。</w:t>
            </w: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补贴发放标准</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=200元/日</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514"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发放补贴医务人员基本生活保障率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医务人员满意度</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3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95.8分</w:t>
            </w:r>
          </w:p>
        </w:tc>
        <w:tc>
          <w:tcPr>
            <w:tcW w:w="1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382"/>
        <w:gridCol w:w="383"/>
        <w:gridCol w:w="1058"/>
        <w:gridCol w:w="714"/>
        <w:gridCol w:w="1329"/>
        <w:gridCol w:w="450"/>
        <w:gridCol w:w="1070"/>
        <w:gridCol w:w="1057"/>
        <w:gridCol w:w="73"/>
        <w:gridCol w:w="396"/>
        <w:gridCol w:w="162"/>
        <w:gridCol w:w="406"/>
        <w:gridCol w:w="404"/>
        <w:gridCol w:w="638"/>
      </w:tblGrid>
      <w:tr>
        <w:tblPrEx>
          <w:tblLayout w:type="fixed"/>
          <w:tblCellMar>
            <w:top w:w="0" w:type="dxa"/>
            <w:left w:w="108" w:type="dxa"/>
            <w:bottom w:w="0" w:type="dxa"/>
            <w:right w:w="108" w:type="dxa"/>
          </w:tblCellMar>
        </w:tblPrEx>
        <w:trPr>
          <w:trHeight w:val="420"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5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中央基本公共卫生服务补助资金</w:t>
            </w:r>
          </w:p>
        </w:tc>
      </w:tr>
      <w:tr>
        <w:tblPrEx>
          <w:tblLayout w:type="fixed"/>
          <w:tblCellMar>
            <w:top w:w="0" w:type="dxa"/>
            <w:left w:w="108" w:type="dxa"/>
            <w:bottom w:w="0" w:type="dxa"/>
            <w:right w:w="108" w:type="dxa"/>
          </w:tblCellMar>
        </w:tblPrEx>
        <w:trPr>
          <w:trHeight w:val="280" w:hRule="atLeast"/>
        </w:trPr>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2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1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0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tblPrEx>
          <w:tblLayout w:type="fixed"/>
          <w:tblCellMar>
            <w:top w:w="0" w:type="dxa"/>
            <w:left w:w="108" w:type="dxa"/>
            <w:bottom w:w="0" w:type="dxa"/>
            <w:right w:w="108" w:type="dxa"/>
          </w:tblCellMar>
        </w:tblPrEx>
        <w:trPr>
          <w:trHeight w:val="520" w:hRule="atLeast"/>
        </w:trPr>
        <w:tc>
          <w:tcPr>
            <w:tcW w:w="7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15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11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5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15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11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5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3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0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3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0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依据昌州财社（2022）46号-中央基本公共卫生服务补助资金文件，2023年</w:t>
            </w:r>
            <w:r>
              <w:rPr>
                <w:rFonts w:hint="eastAsia" w:ascii="宋体" w:hAnsi="宋体" w:cs="宋体"/>
                <w:color w:val="000000"/>
                <w:kern w:val="0"/>
                <w:sz w:val="20"/>
                <w:szCs w:val="20"/>
                <w:lang w:eastAsia="zh-CN"/>
              </w:rPr>
              <w:t>木垒县人民医院</w:t>
            </w:r>
            <w:r>
              <w:rPr>
                <w:rFonts w:hint="eastAsia" w:ascii="宋体" w:hAnsi="宋体" w:cs="宋体"/>
                <w:color w:val="000000"/>
                <w:kern w:val="0"/>
                <w:sz w:val="20"/>
                <w:szCs w:val="20"/>
              </w:rPr>
              <w:t>免费向城乡居民提供基本公共卫生服务，开展重点疾病及危害因素检测，定期走访孕产妇及严重精神病患者，推进妇幼卫生，促进健康素养，保持重点疾病防治全面落实。</w:t>
            </w:r>
          </w:p>
        </w:tc>
        <w:tc>
          <w:tcPr>
            <w:tcW w:w="313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完成日期：我单位依据昌州财社（2022）46号-关于下达2023年中央基本公共卫生服务补助资金文件，已完成孕产妇管理53人，精神病患者管理30人，支付相关宣传资料印刷品上千余张。进一步提升基本公共卫生服务工作质量，聚焦精准诊断、精准报告、全程规范诊疗、提高治愈率开展重点疾病及危害因素检测，定期走访孕产妇及严重精神病患者，推进妇幼卫生，促进健康素养，保持重点疾病防治全面落实。加强严重精神障碍患者筛查、登记报告和随访服务，提高患者治疗率。</w:t>
            </w:r>
          </w:p>
        </w:tc>
      </w:tr>
      <w:tr>
        <w:tblPrEx>
          <w:tblLayout w:type="fixed"/>
          <w:tblCellMar>
            <w:top w:w="0" w:type="dxa"/>
            <w:left w:w="108" w:type="dxa"/>
            <w:bottom w:w="0" w:type="dxa"/>
            <w:right w:w="108" w:type="dxa"/>
          </w:tblCellMar>
        </w:tblPrEx>
        <w:trPr>
          <w:trHeight w:val="312" w:hRule="atLeast"/>
        </w:trPr>
        <w:tc>
          <w:tcPr>
            <w:tcW w:w="3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3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58" w:type="dxa"/>
            <w:vMerge w:val="restart"/>
            <w:tcBorders>
              <w:top w:val="nil"/>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有关高危孕产妇随访本印刷数量</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&gt;=100册</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=100册</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vMerge w:val="continue"/>
            <w:tcBorders>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关于孕产妇与精神病管理有关宣传页印刷数量</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&gt;=1000张</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=1000张</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vMerge w:val="continue"/>
            <w:tcBorders>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管理孕产妇人员数量</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vMerge w:val="continue"/>
            <w:tcBorders>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管理精神病患者数量</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vMerge w:val="restart"/>
            <w:tcBorders>
              <w:top w:val="nil"/>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精神疾病患者规范管理率</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vMerge w:val="continue"/>
            <w:tcBorders>
              <w:left w:val="nil"/>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早孕建册率</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vMerge w:val="continue"/>
            <w:tcBorders>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孕产妇产后访视率</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走访精神病患者工作完成及时率</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有关孕产妇，严重精神病患者管理的宣传资料支出</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&lt;=0.26万元</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=0.26万元</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走访人员交通补助支出</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&lt;=0.20万元</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=0.2万元</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孕产妇管理监测设施设备支出</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&lt;=1.24万元</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=1.24万元</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患者投诉率</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持续为辖区居民提供医疗服务时间</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644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FE09FC"/>
    <w:rsid w:val="0019485A"/>
    <w:rsid w:val="00213C59"/>
    <w:rsid w:val="002810C5"/>
    <w:rsid w:val="003210CE"/>
    <w:rsid w:val="005920A1"/>
    <w:rsid w:val="00697380"/>
    <w:rsid w:val="006A74FA"/>
    <w:rsid w:val="00792750"/>
    <w:rsid w:val="007A0BA1"/>
    <w:rsid w:val="0081008D"/>
    <w:rsid w:val="00873F0F"/>
    <w:rsid w:val="008951CD"/>
    <w:rsid w:val="008A10DF"/>
    <w:rsid w:val="00914215"/>
    <w:rsid w:val="00946D1C"/>
    <w:rsid w:val="00961D46"/>
    <w:rsid w:val="00AE4BC7"/>
    <w:rsid w:val="00B504DB"/>
    <w:rsid w:val="00B70D59"/>
    <w:rsid w:val="00BA18A0"/>
    <w:rsid w:val="00CC32F3"/>
    <w:rsid w:val="00CC423F"/>
    <w:rsid w:val="00D06CC3"/>
    <w:rsid w:val="00D724D5"/>
    <w:rsid w:val="00E022D5"/>
    <w:rsid w:val="00F15C87"/>
    <w:rsid w:val="00F50CF7"/>
    <w:rsid w:val="00F52A8D"/>
    <w:rsid w:val="00FA1D07"/>
    <w:rsid w:val="00FD4639"/>
    <w:rsid w:val="00FE09F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5850EE"/>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621EAD"/>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EFE28B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6930</Words>
  <Characters>8235</Characters>
  <Lines>166</Lines>
  <Paragraphs>46</Paragraphs>
  <TotalTime>11</TotalTime>
  <ScaleCrop>false</ScaleCrop>
  <LinksUpToDate>false</LinksUpToDate>
  <CharactersWithSpaces>8421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2025-04-22T09:32:54Z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